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01" w:rsidRPr="00D74801" w:rsidRDefault="00D74801" w:rsidP="00D74801">
      <w:pPr>
        <w:widowControl/>
        <w:shd w:val="clear" w:color="auto" w:fill="FFFFFF"/>
        <w:spacing w:line="560" w:lineRule="exact"/>
        <w:jc w:val="left"/>
        <w:outlineLvl w:val="0"/>
        <w:rPr>
          <w:rFonts w:ascii="方正仿宋_GBK" w:eastAsia="方正仿宋_GBK" w:hAnsi="微软雅黑" w:cs="宋体" w:hint="eastAsia"/>
          <w:bCs/>
          <w:kern w:val="36"/>
          <w:sz w:val="28"/>
          <w:szCs w:val="28"/>
        </w:rPr>
      </w:pPr>
      <w:r w:rsidRPr="00D74801">
        <w:rPr>
          <w:rFonts w:ascii="方正仿宋_GBK" w:eastAsia="方正仿宋_GBK" w:hAnsi="微软雅黑" w:cs="宋体" w:hint="eastAsia"/>
          <w:bCs/>
          <w:kern w:val="36"/>
          <w:sz w:val="28"/>
          <w:szCs w:val="28"/>
        </w:rPr>
        <w:t>附件4：</w:t>
      </w:r>
      <w:bookmarkStart w:id="0" w:name="_GoBack"/>
      <w:bookmarkEnd w:id="0"/>
    </w:p>
    <w:p w:rsidR="00F12661" w:rsidRPr="001D6081" w:rsidRDefault="00F12661" w:rsidP="00C44E7A">
      <w:pPr>
        <w:widowControl/>
        <w:shd w:val="clear" w:color="auto" w:fill="FFFFFF"/>
        <w:spacing w:line="560" w:lineRule="exact"/>
        <w:jc w:val="center"/>
        <w:outlineLvl w:val="0"/>
        <w:rPr>
          <w:rFonts w:ascii="方正仿宋_GBK" w:eastAsia="方正仿宋_GBK" w:hAnsi="微软雅黑" w:cs="宋体"/>
          <w:bCs/>
          <w:kern w:val="36"/>
          <w:sz w:val="32"/>
          <w:szCs w:val="32"/>
        </w:rPr>
      </w:pPr>
      <w:r w:rsidRPr="001D6081">
        <w:rPr>
          <w:rFonts w:ascii="方正仿宋_GBK" w:eastAsia="方正仿宋_GBK" w:hAnsi="微软雅黑" w:cs="宋体" w:hint="eastAsia"/>
          <w:bCs/>
          <w:kern w:val="36"/>
          <w:sz w:val="32"/>
          <w:szCs w:val="32"/>
        </w:rPr>
        <w:t>教育部关于一流本科课程建设的实施意见</w:t>
      </w:r>
    </w:p>
    <w:p w:rsidR="00F12661" w:rsidRPr="00C44E7A" w:rsidRDefault="00F12661" w:rsidP="00C44E7A">
      <w:pPr>
        <w:widowControl/>
        <w:shd w:val="clear" w:color="auto" w:fill="FFFFFF"/>
        <w:spacing w:line="560" w:lineRule="exact"/>
        <w:ind w:right="240"/>
        <w:jc w:val="center"/>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教高〔2019〕8号</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各省、自治区、直辖市教育厅（教委）,新疆生产建设兵团教育局,有关部门（单位）教育司（局），部属各高等学校、部省合建各高等学校：</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一、总体要求</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（一）指导思想</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（二）总体目标</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全面开展一流本科课程建设，树立课程建设新理念，推进课程改革创新，实施科学课程评价，严格课程管理，立起教授上课、消灭“水课”、取消“清考”等硬规矩，夯实基层教学</w:t>
      </w:r>
      <w:r w:rsidRPr="00C44E7A">
        <w:rPr>
          <w:rFonts w:ascii="方正仿宋_GBK" w:eastAsia="方正仿宋_GBK" w:hAnsi="微软雅黑" w:cs="宋体" w:hint="eastAsia"/>
          <w:kern w:val="0"/>
          <w:sz w:val="32"/>
          <w:szCs w:val="32"/>
        </w:rPr>
        <w:lastRenderedPageBreak/>
        <w:t>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（三）基本原则</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——坚持分类建设。依据高校办学定位和人才培养目标定位，建设适应创新型、复合型、应用型人才培养需要的一流本科课程，实现不同类型高校一流本科课程建设全覆盖。</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——增加挑战度。课程设计增加研究性、创新性、综合性内容，加大学生学习投入，科学“增负”，让学生体验“跳一</w:t>
      </w:r>
      <w:r w:rsidRPr="00C44E7A">
        <w:rPr>
          <w:rFonts w:ascii="方正仿宋_GBK" w:eastAsia="方正仿宋_GBK" w:hAnsi="微软雅黑" w:cs="宋体" w:hint="eastAsia"/>
          <w:kern w:val="0"/>
          <w:sz w:val="32"/>
          <w:szCs w:val="32"/>
        </w:rPr>
        <w:lastRenderedPageBreak/>
        <w:t>跳才能够得着”的学习挑战。严格考核考试评价，增强学生经过刻苦学习收获能力和素质提高的成就感。</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二、建设内容</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lastRenderedPageBreak/>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lastRenderedPageBreak/>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三、实施一流本科课程双万计划</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（二）认定万门左右省级一流本科课程。各省级教育行政部门根据区域高等教育改革发展需求，参照本实施意见要求，具体组织实施本地区一流本科课程建设计划。推荐国家</w:t>
      </w:r>
      <w:r w:rsidRPr="00C44E7A">
        <w:rPr>
          <w:rFonts w:ascii="方正仿宋_GBK" w:eastAsia="方正仿宋_GBK" w:hAnsi="微软雅黑" w:cs="宋体" w:hint="eastAsia"/>
          <w:kern w:val="0"/>
          <w:sz w:val="32"/>
          <w:szCs w:val="32"/>
        </w:rPr>
        <w:lastRenderedPageBreak/>
        <w:t>级一流课程，注重解决本地区高校长期存在的教育教学问题，因地制宜、因校制宜、因课制宜建设省级一流本科课程，并报我部备案。</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四、组织管理</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（一）教育部负责统筹指导一流本科课程建设工作，组织有关专家和机构研究制定一流本科课程建设、应用与管理的相关标准规范。公布国家级一流本科课程推荐认定结果。</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（四）高等学校教学指导委员会要加强课程建设理论研究和分类指导，组织制订相关专业一流本科课程建设指南，引导高校汇聚优秀教师联合建设课程群，共享优质课程资源。</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sidRPr="00C44E7A">
        <w:rPr>
          <w:rFonts w:ascii="方正仿宋_GBK" w:eastAsia="方正仿宋_GBK" w:hAnsi="微软雅黑" w:cs="宋体" w:hint="eastAsia"/>
          <w:kern w:val="0"/>
          <w:sz w:val="32"/>
          <w:szCs w:val="32"/>
        </w:rPr>
        <w:t> </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（六）中央部门所属高校统筹利用“中央高校教育教学改革专项”等各类资源支持一流本科课程建设。地方高校统筹地</w:t>
      </w:r>
      <w:r w:rsidRPr="00C44E7A">
        <w:rPr>
          <w:rFonts w:ascii="方正仿宋_GBK" w:eastAsia="方正仿宋_GBK" w:hAnsi="微软雅黑" w:cs="宋体" w:hint="eastAsia"/>
          <w:kern w:val="0"/>
          <w:sz w:val="32"/>
          <w:szCs w:val="32"/>
        </w:rPr>
        <w:lastRenderedPageBreak/>
        <w:t>方财政高等教育资金和中央支持地方高校改革发展资金支持一流本科课程建设。</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附件：“双万计划”国家级一流本科课程推荐认定办法</w:t>
      </w:r>
    </w:p>
    <w:p w:rsidR="00F12661" w:rsidRPr="00C44E7A" w:rsidRDefault="00F12661" w:rsidP="00C44E7A">
      <w:pPr>
        <w:widowControl/>
        <w:shd w:val="clear" w:color="auto" w:fill="FFFFFF"/>
        <w:spacing w:line="560" w:lineRule="exact"/>
        <w:jc w:val="righ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教育部</w:t>
      </w:r>
    </w:p>
    <w:p w:rsidR="00F12661" w:rsidRDefault="00F12661" w:rsidP="00C44E7A">
      <w:pPr>
        <w:widowControl/>
        <w:shd w:val="clear" w:color="auto" w:fill="FFFFFF"/>
        <w:spacing w:line="560" w:lineRule="exact"/>
        <w:jc w:val="righ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2019年10月24日</w:t>
      </w:r>
    </w:p>
    <w:p w:rsidR="00C44E7A" w:rsidRPr="00C44E7A" w:rsidRDefault="00C44E7A" w:rsidP="00C44E7A">
      <w:pPr>
        <w:widowControl/>
        <w:shd w:val="clear" w:color="auto" w:fill="FFFFFF"/>
        <w:spacing w:line="560" w:lineRule="exact"/>
        <w:jc w:val="right"/>
        <w:rPr>
          <w:rFonts w:ascii="方正仿宋_GBK" w:eastAsia="方正仿宋_GBK" w:hAnsi="微软雅黑" w:cs="宋体"/>
          <w:kern w:val="0"/>
          <w:sz w:val="32"/>
          <w:szCs w:val="32"/>
        </w:rPr>
      </w:pP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b/>
          <w:bCs/>
          <w:kern w:val="0"/>
          <w:sz w:val="32"/>
          <w:szCs w:val="32"/>
          <w:bdr w:val="none" w:sz="0" w:space="0" w:color="auto" w:frame="1"/>
        </w:rPr>
        <w:t>附件</w:t>
      </w:r>
    </w:p>
    <w:p w:rsidR="00F12661" w:rsidRPr="00C44E7A" w:rsidRDefault="00F12661" w:rsidP="00C44E7A">
      <w:pPr>
        <w:widowControl/>
        <w:shd w:val="clear" w:color="auto" w:fill="FFFFFF"/>
        <w:spacing w:line="560" w:lineRule="exact"/>
        <w:jc w:val="center"/>
        <w:rPr>
          <w:rFonts w:ascii="方正仿宋_GBK" w:eastAsia="方正仿宋_GBK" w:hAnsi="微软雅黑" w:cs="宋体"/>
          <w:kern w:val="0"/>
          <w:sz w:val="32"/>
          <w:szCs w:val="32"/>
        </w:rPr>
      </w:pPr>
      <w:r w:rsidRPr="00C44E7A">
        <w:rPr>
          <w:rFonts w:ascii="方正仿宋_GBK" w:eastAsia="方正仿宋_GBK" w:hAnsi="微软雅黑" w:cs="宋体" w:hint="eastAsia"/>
          <w:b/>
          <w:bCs/>
          <w:kern w:val="0"/>
          <w:sz w:val="32"/>
          <w:szCs w:val="32"/>
          <w:bdr w:val="none" w:sz="0" w:space="0" w:color="auto" w:frame="1"/>
        </w:rPr>
        <w:t>“双万计划”国家级一流本科课程</w:t>
      </w:r>
    </w:p>
    <w:p w:rsidR="00F12661" w:rsidRPr="00C44E7A" w:rsidRDefault="00F12661" w:rsidP="00C44E7A">
      <w:pPr>
        <w:widowControl/>
        <w:shd w:val="clear" w:color="auto" w:fill="FFFFFF"/>
        <w:spacing w:line="560" w:lineRule="exact"/>
        <w:jc w:val="center"/>
        <w:rPr>
          <w:rFonts w:ascii="方正仿宋_GBK" w:eastAsia="方正仿宋_GBK" w:hAnsi="微软雅黑" w:cs="宋体"/>
          <w:kern w:val="0"/>
          <w:sz w:val="32"/>
          <w:szCs w:val="32"/>
        </w:rPr>
      </w:pPr>
      <w:r w:rsidRPr="00C44E7A">
        <w:rPr>
          <w:rFonts w:ascii="方正仿宋_GBK" w:eastAsia="方正仿宋_GBK" w:hAnsi="微软雅黑" w:cs="宋体" w:hint="eastAsia"/>
          <w:b/>
          <w:bCs/>
          <w:kern w:val="0"/>
          <w:sz w:val="32"/>
          <w:szCs w:val="32"/>
          <w:bdr w:val="none" w:sz="0" w:space="0" w:color="auto" w:frame="1"/>
        </w:rPr>
        <w:t>推荐认定办法</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一、推荐范围</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普通本科高校纳入人才培养方案且设置学分的本科课程均可推荐，包括思想政治理论课、公共基础课、专业基础课、专业课以及通识课等独立设置的本科理论课程、实验课程和社会实践课程等。</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二、推荐类型与计划</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线上一流课程。即国家精品在线开放课程，突出优质、开放、共享，打造中国慕课品牌。完成4000门左右国家精品在线开放课程认定，构建内容更加丰富、结构更加合理、类别更加全面的国家级精品慕课体系。</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lastRenderedPageBreak/>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三、推荐条件</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lastRenderedPageBreak/>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（一）教学理念先进。坚持立德树人，体现以学生发展为中心，致力于开启学生内在潜力和学习动力，注重学生德智体美劳全面发展。</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（三）课程目标有效支撑培养目标达成。课程目标符合学校办学定位和人才培养目标，注重知识、能力、素质培养。</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（四）课程教学设计科学合理。围绕目标达成、教学内容、组织实施和多元评价需求进行整体规划，教学策略、教学方法、教学过程、教学评价等设计合理。</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（六）教学组织与实施突出学生中心地位。根据学生认知规律和接受特点，创新教与学模式，因材施教，促进师生</w:t>
      </w:r>
      <w:r w:rsidRPr="00C44E7A">
        <w:rPr>
          <w:rFonts w:ascii="方正仿宋_GBK" w:eastAsia="方正仿宋_GBK" w:hAnsi="微软雅黑" w:cs="宋体" w:hint="eastAsia"/>
          <w:kern w:val="0"/>
          <w:sz w:val="32"/>
          <w:szCs w:val="32"/>
        </w:rPr>
        <w:lastRenderedPageBreak/>
        <w:t>之间、学生之间的交流互动、资源共享、知识生成，教学反馈及时，教学效果显著。</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四、推荐方式</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除线上一流课程、虚拟仿真实验教学一流课程继续按有关文件实施外，线下一流课程、线上线下混合式一流课程和社会实践一流课程采用以下推荐方式。</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（一）推荐总额</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教育部按照国家级线下一流课程、线上线下混合式一流课程和社会实践一流课程三年计划总数确定推荐总额，分别下达至中央部门所属高校和各省级教育行政部门。</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（二）分赛道推荐</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按照中央部门所属高校、地方高校的办学定位和培养目标特点分赛道推荐，名额分列。部省合建高校推荐课程纳入中央部门所属高校赛道。</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（三）推荐方式</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lastRenderedPageBreak/>
        <w:t xml:space="preserve">　　（四）推荐材料要求</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课程团队须提交申报书、时长10分钟内的说课视频（包括教学理念、课程设计、课程实施、改革成效等）和其他佐证材料。</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五、认定方式</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w:t>
      </w:r>
      <w:r w:rsidRPr="00C44E7A">
        <w:rPr>
          <w:rFonts w:ascii="方正仿宋_GBK" w:eastAsia="方正仿宋_GBK" w:hAnsi="微软雅黑" w:cs="宋体" w:hint="eastAsia"/>
          <w:b/>
          <w:bCs/>
          <w:kern w:val="0"/>
          <w:sz w:val="32"/>
          <w:szCs w:val="32"/>
          <w:bdr w:val="none" w:sz="0" w:space="0" w:color="auto" w:frame="1"/>
        </w:rPr>
        <w:t>六、认定课程管理</w:t>
      </w:r>
    </w:p>
    <w:p w:rsidR="00F12661" w:rsidRPr="00C44E7A" w:rsidRDefault="00F12661" w:rsidP="00C44E7A">
      <w:pPr>
        <w:widowControl/>
        <w:shd w:val="clear" w:color="auto" w:fill="FFFFFF"/>
        <w:spacing w:line="560" w:lineRule="exact"/>
        <w:jc w:val="left"/>
        <w:rPr>
          <w:rFonts w:ascii="方正仿宋_GBK" w:eastAsia="方正仿宋_GBK" w:hAnsi="微软雅黑" w:cs="宋体"/>
          <w:kern w:val="0"/>
          <w:sz w:val="32"/>
          <w:szCs w:val="32"/>
        </w:rPr>
      </w:pPr>
      <w:r w:rsidRPr="00C44E7A">
        <w:rPr>
          <w:rFonts w:ascii="方正仿宋_GBK" w:eastAsia="方正仿宋_GBK" w:hAnsi="微软雅黑" w:cs="宋体" w:hint="eastAsia"/>
          <w:kern w:val="0"/>
          <w:sz w:val="32"/>
          <w:szCs w:val="32"/>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C37819" w:rsidRPr="00C44E7A" w:rsidRDefault="00C37819" w:rsidP="00C44E7A">
      <w:pPr>
        <w:spacing w:line="560" w:lineRule="exact"/>
        <w:rPr>
          <w:rFonts w:ascii="方正仿宋_GBK" w:eastAsia="方正仿宋_GBK"/>
          <w:sz w:val="32"/>
          <w:szCs w:val="32"/>
        </w:rPr>
      </w:pPr>
    </w:p>
    <w:sectPr w:rsidR="00C37819" w:rsidRPr="00C44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D0" w:rsidRDefault="000375D0" w:rsidP="00F12661">
      <w:r>
        <w:separator/>
      </w:r>
    </w:p>
  </w:endnote>
  <w:endnote w:type="continuationSeparator" w:id="0">
    <w:p w:rsidR="000375D0" w:rsidRDefault="000375D0" w:rsidP="00F1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D0" w:rsidRDefault="000375D0" w:rsidP="00F12661">
      <w:r>
        <w:separator/>
      </w:r>
    </w:p>
  </w:footnote>
  <w:footnote w:type="continuationSeparator" w:id="0">
    <w:p w:rsidR="000375D0" w:rsidRDefault="000375D0" w:rsidP="00F12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DD"/>
    <w:rsid w:val="000375D0"/>
    <w:rsid w:val="001D6081"/>
    <w:rsid w:val="008A315D"/>
    <w:rsid w:val="00A407DD"/>
    <w:rsid w:val="00BF39A6"/>
    <w:rsid w:val="00C37819"/>
    <w:rsid w:val="00C44E7A"/>
    <w:rsid w:val="00D74801"/>
    <w:rsid w:val="00F10A24"/>
    <w:rsid w:val="00F1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661"/>
    <w:rPr>
      <w:sz w:val="18"/>
      <w:szCs w:val="18"/>
    </w:rPr>
  </w:style>
  <w:style w:type="paragraph" w:styleId="a4">
    <w:name w:val="footer"/>
    <w:basedOn w:val="a"/>
    <w:link w:val="Char0"/>
    <w:uiPriority w:val="99"/>
    <w:unhideWhenUsed/>
    <w:rsid w:val="00F1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F12661"/>
    <w:rPr>
      <w:sz w:val="18"/>
      <w:szCs w:val="18"/>
    </w:rPr>
  </w:style>
  <w:style w:type="paragraph" w:styleId="a5">
    <w:name w:val="Balloon Text"/>
    <w:basedOn w:val="a"/>
    <w:link w:val="Char1"/>
    <w:uiPriority w:val="99"/>
    <w:semiHidden/>
    <w:unhideWhenUsed/>
    <w:rsid w:val="00C44E7A"/>
    <w:rPr>
      <w:sz w:val="18"/>
      <w:szCs w:val="18"/>
    </w:rPr>
  </w:style>
  <w:style w:type="character" w:customStyle="1" w:styleId="Char1">
    <w:name w:val="批注框文本 Char"/>
    <w:basedOn w:val="a0"/>
    <w:link w:val="a5"/>
    <w:uiPriority w:val="99"/>
    <w:semiHidden/>
    <w:rsid w:val="00C44E7A"/>
    <w:rPr>
      <w:sz w:val="18"/>
      <w:szCs w:val="18"/>
    </w:rPr>
  </w:style>
  <w:style w:type="paragraph" w:styleId="a6">
    <w:name w:val="Date"/>
    <w:basedOn w:val="a"/>
    <w:next w:val="a"/>
    <w:link w:val="Char2"/>
    <w:uiPriority w:val="99"/>
    <w:semiHidden/>
    <w:unhideWhenUsed/>
    <w:rsid w:val="00C44E7A"/>
    <w:pPr>
      <w:ind w:leftChars="2500" w:left="100"/>
    </w:pPr>
  </w:style>
  <w:style w:type="character" w:customStyle="1" w:styleId="Char2">
    <w:name w:val="日期 Char"/>
    <w:basedOn w:val="a0"/>
    <w:link w:val="a6"/>
    <w:uiPriority w:val="99"/>
    <w:semiHidden/>
    <w:rsid w:val="00C44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661"/>
    <w:rPr>
      <w:sz w:val="18"/>
      <w:szCs w:val="18"/>
    </w:rPr>
  </w:style>
  <w:style w:type="paragraph" w:styleId="a4">
    <w:name w:val="footer"/>
    <w:basedOn w:val="a"/>
    <w:link w:val="Char0"/>
    <w:uiPriority w:val="99"/>
    <w:unhideWhenUsed/>
    <w:rsid w:val="00F1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F12661"/>
    <w:rPr>
      <w:sz w:val="18"/>
      <w:szCs w:val="18"/>
    </w:rPr>
  </w:style>
  <w:style w:type="paragraph" w:styleId="a5">
    <w:name w:val="Balloon Text"/>
    <w:basedOn w:val="a"/>
    <w:link w:val="Char1"/>
    <w:uiPriority w:val="99"/>
    <w:semiHidden/>
    <w:unhideWhenUsed/>
    <w:rsid w:val="00C44E7A"/>
    <w:rPr>
      <w:sz w:val="18"/>
      <w:szCs w:val="18"/>
    </w:rPr>
  </w:style>
  <w:style w:type="character" w:customStyle="1" w:styleId="Char1">
    <w:name w:val="批注框文本 Char"/>
    <w:basedOn w:val="a0"/>
    <w:link w:val="a5"/>
    <w:uiPriority w:val="99"/>
    <w:semiHidden/>
    <w:rsid w:val="00C44E7A"/>
    <w:rPr>
      <w:sz w:val="18"/>
      <w:szCs w:val="18"/>
    </w:rPr>
  </w:style>
  <w:style w:type="paragraph" w:styleId="a6">
    <w:name w:val="Date"/>
    <w:basedOn w:val="a"/>
    <w:next w:val="a"/>
    <w:link w:val="Char2"/>
    <w:uiPriority w:val="99"/>
    <w:semiHidden/>
    <w:unhideWhenUsed/>
    <w:rsid w:val="00C44E7A"/>
    <w:pPr>
      <w:ind w:leftChars="2500" w:left="100"/>
    </w:pPr>
  </w:style>
  <w:style w:type="character" w:customStyle="1" w:styleId="Char2">
    <w:name w:val="日期 Char"/>
    <w:basedOn w:val="a0"/>
    <w:link w:val="a6"/>
    <w:uiPriority w:val="99"/>
    <w:semiHidden/>
    <w:rsid w:val="00C4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8809">
      <w:bodyDiv w:val="1"/>
      <w:marLeft w:val="0"/>
      <w:marRight w:val="0"/>
      <w:marTop w:val="0"/>
      <w:marBottom w:val="0"/>
      <w:divBdr>
        <w:top w:val="none" w:sz="0" w:space="0" w:color="auto"/>
        <w:left w:val="none" w:sz="0" w:space="0" w:color="auto"/>
        <w:bottom w:val="none" w:sz="0" w:space="0" w:color="auto"/>
        <w:right w:val="none" w:sz="0" w:space="0" w:color="auto"/>
      </w:divBdr>
      <w:divsChild>
        <w:div w:id="86483172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戴丽娟</dc:creator>
  <cp:keywords/>
  <dc:description/>
  <cp:lastModifiedBy>戴丽娟</cp:lastModifiedBy>
  <cp:revision>5</cp:revision>
  <dcterms:created xsi:type="dcterms:W3CDTF">2021-05-14T03:17:00Z</dcterms:created>
  <dcterms:modified xsi:type="dcterms:W3CDTF">2021-05-16T07:18:00Z</dcterms:modified>
</cp:coreProperties>
</file>